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Resmi Gazete Tarihi: 25.01.2013</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Resmi Gazete Sayısı: 28539</w:t>
      </w:r>
    </w:p>
    <w:p w:rsidR="00710D11" w:rsidRDefault="00710D11" w:rsidP="00710D11">
      <w:pPr>
        <w:spacing w:after="240" w:line="240" w:lineRule="auto"/>
        <w:jc w:val="center"/>
        <w:rPr>
          <w:rFonts w:ascii="Times New Roman" w:hAnsi="Times New Roman"/>
          <w:b/>
          <w:bCs/>
          <w:sz w:val="24"/>
          <w:szCs w:val="24"/>
        </w:rPr>
      </w:pPr>
    </w:p>
    <w:p w:rsidR="00710D11" w:rsidRDefault="00710D11" w:rsidP="00710D11">
      <w:pPr>
        <w:spacing w:after="240" w:line="240" w:lineRule="auto"/>
        <w:jc w:val="center"/>
        <w:rPr>
          <w:rFonts w:ascii="Times New Roman" w:hAnsi="Times New Roman"/>
          <w:b/>
          <w:bCs/>
          <w:sz w:val="24"/>
          <w:szCs w:val="24"/>
        </w:rPr>
      </w:pPr>
      <w:r w:rsidRPr="00CC59C4">
        <w:rPr>
          <w:rFonts w:ascii="Times New Roman" w:hAnsi="Times New Roman"/>
          <w:b/>
          <w:bCs/>
          <w:sz w:val="24"/>
          <w:szCs w:val="24"/>
        </w:rPr>
        <w:t>BAĞIMSIZ DENETÇİLİK UYGULAMALI MESLEKİ EĞİTİM TEBLİĞİ</w:t>
      </w:r>
    </w:p>
    <w:p w:rsidR="00710D11" w:rsidRPr="00CC59C4" w:rsidRDefault="00710D11" w:rsidP="00710D11">
      <w:pPr>
        <w:spacing w:after="120" w:line="240" w:lineRule="auto"/>
        <w:jc w:val="center"/>
        <w:rPr>
          <w:rFonts w:ascii="Times New Roman" w:hAnsi="Times New Roman"/>
          <w:sz w:val="24"/>
          <w:szCs w:val="24"/>
        </w:rPr>
      </w:pPr>
      <w:r w:rsidRPr="00CC59C4">
        <w:rPr>
          <w:rFonts w:ascii="Times New Roman" w:hAnsi="Times New Roman"/>
          <w:b/>
          <w:bCs/>
          <w:sz w:val="24"/>
          <w:szCs w:val="24"/>
        </w:rPr>
        <w:t>BİRİNCİ BÖLÜM</w:t>
      </w:r>
    </w:p>
    <w:p w:rsidR="00710D11" w:rsidRPr="00CC59C4" w:rsidRDefault="00710D11" w:rsidP="00710D11">
      <w:pPr>
        <w:spacing w:after="120" w:line="240" w:lineRule="auto"/>
        <w:jc w:val="center"/>
        <w:rPr>
          <w:rFonts w:ascii="Times New Roman" w:hAnsi="Times New Roman"/>
          <w:b/>
          <w:bCs/>
          <w:sz w:val="24"/>
          <w:szCs w:val="24"/>
        </w:rPr>
      </w:pPr>
      <w:r w:rsidRPr="00CC59C4">
        <w:rPr>
          <w:rFonts w:ascii="Times New Roman" w:hAnsi="Times New Roman"/>
          <w:b/>
          <w:bCs/>
          <w:sz w:val="24"/>
          <w:szCs w:val="24"/>
        </w:rPr>
        <w:t>Amaç, Kapsam, Dayanak ve Tanımlar</w:t>
      </w:r>
      <w:bookmarkStart w:id="0" w:name="_GoBack"/>
      <w:bookmarkEnd w:id="0"/>
      <w:permStart w:id="1134711074" w:edGrp="everyone"/>
      <w:permEnd w:id="1134711074"/>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Amaç</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1 – </w:t>
      </w:r>
      <w:r w:rsidRPr="00CC59C4">
        <w:rPr>
          <w:rFonts w:ascii="Times New Roman" w:hAnsi="Times New Roman"/>
          <w:sz w:val="24"/>
          <w:szCs w:val="24"/>
        </w:rPr>
        <w:t>(1) Bu Tebliğin amacı; bağımsız denetçi olmak isteyen denetçi yardımcılarına verilecek uygulamalı mesleki eğitime, refakatinde eğitim alınabilecek denetçilere ve eğitim alanlara dair usul ve esasları düzenlemektir.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Kapsam</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2 – </w:t>
      </w:r>
      <w:r w:rsidRPr="00CC59C4">
        <w:rPr>
          <w:rFonts w:ascii="Times New Roman" w:hAnsi="Times New Roman"/>
          <w:sz w:val="24"/>
          <w:szCs w:val="24"/>
        </w:rPr>
        <w:t>(1) Bu Tebliğ; denetçi yardımcılarının yetiştirilmelerine ve mesleki yeterlilik kazanmalarına yönelik olan uygulamalı mesleki eğitimin; esaslarına, süresine, değerlendirme ve takip yöntemlerine, nezdinde uygulamalı mesleki eğitim alınacak bağımsız denetçi ve bağımsız denetim kuruluşlarına ilişkin usul ve esasları kapsar.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Dayanak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3 – </w:t>
      </w:r>
      <w:r w:rsidRPr="00CC59C4">
        <w:rPr>
          <w:rFonts w:ascii="Times New Roman" w:hAnsi="Times New Roman"/>
          <w:sz w:val="24"/>
          <w:szCs w:val="24"/>
        </w:rPr>
        <w:t>(1) Bu Tebliğ, 26/12/2012 tarihli ve 28509 sayılı Resmî Gazete’de yayımlanan Bağımsız Denetim Yönetmeliğinin 15 inci ve 49 uncu maddelerine dayanılarak hazırlanmıştır.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Tanımlar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4 – </w:t>
      </w:r>
      <w:r w:rsidRPr="00CC59C4">
        <w:rPr>
          <w:rFonts w:ascii="Times New Roman" w:hAnsi="Times New Roman"/>
          <w:sz w:val="24"/>
          <w:szCs w:val="24"/>
        </w:rPr>
        <w:t>(1) Bu Tebliğde kullanılan terimler, Bağımsız Denetim Yönetmeliğinde tanımlanan anlamları ile kullanılmıştır. Ayrıca, bu Tebliğin uygulanmasında;</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 xml:space="preserve">a) </w:t>
      </w:r>
      <w:r w:rsidRPr="00CC59C4">
        <w:rPr>
          <w:rFonts w:ascii="Times New Roman" w:hAnsi="Times New Roman"/>
          <w:b/>
          <w:bCs/>
          <w:sz w:val="24"/>
          <w:szCs w:val="24"/>
        </w:rPr>
        <w:t xml:space="preserve">(Değişik:RG-7/3/2015-29288) </w:t>
      </w:r>
      <w:r w:rsidRPr="00CC59C4">
        <w:rPr>
          <w:rFonts w:ascii="Times New Roman" w:hAnsi="Times New Roman"/>
          <w:sz w:val="24"/>
          <w:szCs w:val="24"/>
        </w:rPr>
        <w:t>Eğitim ve Yetkilendirme Bilgi Sistemi (EYBİS): Kurum tarafından elektronik ortamda oluşturulan, denetçi ve denetim kuruluşlarının yetkilendirme ve resmi sicil işlemlerinin yürütüldüğü, uygulamalı mesleki eğitimlere ilişkin her türlü bilginin alındığı, kayıt, tescil ve ilan edilmesi gereken içeriklerin düzenli bir şekilde depolandığı veri tabanlarından oluşan bilgi işlem sistemini,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b) Güvenli elektronik imza: 15/1/2004 tarihli ve 5070 sayılı Elektronik İmza Kanununun 4 üncü maddesinde tanımlanan imzayı,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c) Uygulamalı mesleki eğitim: Bağımsız denetçilik mesleğinin gerektirdiği bilgi, beceri ve uygulama yeterliliklerinin kazandırılması amacıyla Kurumca belirlenen temel esaslar çerçevesinde yürütülen en az üç yıl süreli eğitimi,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ç) Yönetmelik: Bağımsız Denetim Yönetmeliğini,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ifade eder.</w:t>
      </w:r>
    </w:p>
    <w:p w:rsidR="00710D11"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Bu Tebliğde geçen “eğitim” ibaresi uygulamalı mesleki eğitimi ifade eder.</w:t>
      </w:r>
    </w:p>
    <w:p w:rsidR="00710D11" w:rsidRDefault="00710D11" w:rsidP="00710D11">
      <w:pPr>
        <w:spacing w:after="240" w:line="240" w:lineRule="auto"/>
        <w:jc w:val="both"/>
        <w:rPr>
          <w:rFonts w:ascii="Times New Roman" w:hAnsi="Times New Roman"/>
          <w:sz w:val="24"/>
          <w:szCs w:val="24"/>
        </w:rPr>
      </w:pPr>
    </w:p>
    <w:p w:rsidR="00710D11" w:rsidRPr="00CC59C4" w:rsidRDefault="00710D11" w:rsidP="00710D11">
      <w:pPr>
        <w:spacing w:after="240" w:line="240" w:lineRule="auto"/>
        <w:jc w:val="both"/>
        <w:rPr>
          <w:rFonts w:ascii="Times New Roman" w:hAnsi="Times New Roman"/>
          <w:sz w:val="24"/>
          <w:szCs w:val="24"/>
        </w:rPr>
      </w:pPr>
    </w:p>
    <w:p w:rsidR="00710D11" w:rsidRPr="00CC59C4" w:rsidRDefault="00710D11" w:rsidP="00710D11">
      <w:pPr>
        <w:spacing w:after="120" w:line="240" w:lineRule="auto"/>
        <w:jc w:val="center"/>
        <w:rPr>
          <w:rFonts w:ascii="Times New Roman" w:hAnsi="Times New Roman"/>
          <w:sz w:val="24"/>
          <w:szCs w:val="24"/>
        </w:rPr>
      </w:pPr>
      <w:r w:rsidRPr="00CC59C4">
        <w:rPr>
          <w:rFonts w:ascii="Times New Roman" w:hAnsi="Times New Roman"/>
          <w:b/>
          <w:bCs/>
          <w:sz w:val="24"/>
          <w:szCs w:val="24"/>
        </w:rPr>
        <w:lastRenderedPageBreak/>
        <w:t>İKİNCİ BÖLÜM</w:t>
      </w:r>
    </w:p>
    <w:p w:rsidR="00710D11" w:rsidRPr="00CC59C4" w:rsidRDefault="00710D11" w:rsidP="00710D11">
      <w:pPr>
        <w:spacing w:after="120" w:line="240" w:lineRule="auto"/>
        <w:jc w:val="center"/>
        <w:rPr>
          <w:rFonts w:ascii="Times New Roman" w:hAnsi="Times New Roman"/>
          <w:b/>
          <w:bCs/>
          <w:sz w:val="24"/>
          <w:szCs w:val="24"/>
        </w:rPr>
      </w:pPr>
      <w:r w:rsidRPr="00CC59C4">
        <w:rPr>
          <w:rFonts w:ascii="Times New Roman" w:hAnsi="Times New Roman"/>
          <w:b/>
          <w:bCs/>
          <w:sz w:val="24"/>
          <w:szCs w:val="24"/>
        </w:rPr>
        <w:t>Uygulamalı Mesleki Eğitim</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Eğitimin amacı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5 –</w:t>
      </w:r>
      <w:r w:rsidRPr="00CC59C4">
        <w:rPr>
          <w:rFonts w:ascii="Times New Roman" w:hAnsi="Times New Roman"/>
          <w:sz w:val="24"/>
          <w:szCs w:val="24"/>
        </w:rPr>
        <w:t xml:space="preserve"> (1) Denetçi yardımcıları aşağıdaki amaçlar esas alınarak eğitime tabi tutulurlar: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a) Teorik bilgilerinin uygulamaya geçirilmesini sağlamak.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b) Bağımsız denetim alanında yeterli bilgi, ihtisas ve deneyime sahip olmalarını sağlamak.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c) Mesleğin gerektirdiği ahlaki nitelikleri ve meslek bilincini yerleştirmek.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ç) Mesleğin gerektirdiği bilgi işlem teknolojilerini öğrenmelerini sağlamak.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d) Analitik düşünme, takım çalışması ve iletişim becerilerini geliştirmek.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e) Yazışma ve rapor yazma tekniği konusunda bilgi ve yetenek kazandırmak.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f) Meslekte standartlaşmayı temin etmek.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Eğitime başlama şartı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6 –</w:t>
      </w:r>
      <w:r w:rsidRPr="00CC59C4">
        <w:rPr>
          <w:rFonts w:ascii="Times New Roman" w:hAnsi="Times New Roman"/>
          <w:sz w:val="24"/>
          <w:szCs w:val="24"/>
        </w:rPr>
        <w:t xml:space="preserve"> (1) Eğitime başlamak için Yönetmeliğin 14 üncü maddesinin birinci fıkrasının (a) bendinde belirtilen mezuniyet şartı aranır.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 süresi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7 – </w:t>
      </w:r>
      <w:r w:rsidRPr="00CC59C4">
        <w:rPr>
          <w:rFonts w:ascii="Times New Roman" w:hAnsi="Times New Roman"/>
          <w:sz w:val="24"/>
          <w:szCs w:val="24"/>
        </w:rPr>
        <w:t>(1) Denetçi yardımcılarının eğitim süresi en az üç yıldır.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Mücbir sebepler hariç eğitimin kesintisiz yürütülmesi esastır. Mücbir sebeplerden dolayı eksik kalan eğitim süresi tamamlanır.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Eğitimden sayılan süreler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8 – </w:t>
      </w:r>
      <w:r w:rsidRPr="00CC59C4">
        <w:rPr>
          <w:rFonts w:ascii="Times New Roman" w:hAnsi="Times New Roman"/>
          <w:sz w:val="24"/>
          <w:szCs w:val="24"/>
        </w:rPr>
        <w:t>(1) 1/6/1989 tarihli ve 3568 sayılı Serbest Muhasebeci Mali Müşavirlik ve Yeminli Mali Müşavirlik Kanunu çerçevesinde tasdik ve vergi denetimi hizmetlerinde geçen süreler ile aynı Kanunun 6 ncı maddesinin ikinci fıkrasında yer alan kamu kurum ve kuruluşlarında denetim yetkisini haiz olanların, bu kamu kurum ve kuruluşlarında geçirdikleri süreler uygulamalı mesleki eğitim süresinden sayılır.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En az on beş yıl mesleki tecrübeye sahip olan meslek mensuplarında uygulamalı mesleki eğitim şartı aranmaz.</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(3) Mesleki tecrübe süresi, mesleki faaliyetlere başlandığı tarihte başlar ve mesleki faaliyetlerde geçirilen süreyi kapsar. Bu sürenin hesabında,</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a) 3568 sayılı Kanun kapsamındaki staj ve stajdan sayılan hizmetler ile aynı Kanun uyarınca mesleki faaliyetlerde bulunulan süreler,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b) Bağımsız denetimde geçirilen süreler,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c) 3568 sayılı Kanun çerçevesinde tasdik ve vergi denetimi hizmetlerinde geçen süreler ile aynı Kanunun 6 ncı maddesinin ikinci fıkrasında yer alan kamu kurum ve kuruluşlarında denetim yetkisini haiz olanların, kamu kurum ve kuruluşlarında geçirdikleri süreler,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lastRenderedPageBreak/>
        <w:t>dikkate alınır. Mesleki tecrübe süresine dört yılı aşmamak üzere, Yönetmeliğin 14 üncü maddesinin birinci fıkrasının (a) bendinde öngörülen lisans veya lisansüstü eğitim süreleri ilave edilir. Kamu kurum ve kuruluşlarında geçirilen süreler hariç olmak üzere, bir yıldan fazla süreyle bu maddede belirtilen faaliyetlere ara verilmesi durumunda, ara verilen fazla süreler mesleki tecrübe süresinin hesabında dikkate alınmaz.</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(4) 3568 sayılı Kanun uyarınca meslek mensuplarınca yapılan staj süresinin bir yılı veya lisansüstü diplomasının ibraz edilmesi şartıyla iktisat, maliye, işletme, muhasebe, finansman, denetim ve vergi ile ilgili alanlarda lisansüstü eğitim görenlerin bu eğitimde geçen sürelerinin bir yılı eğitimden sayılır.</w:t>
      </w:r>
    </w:p>
    <w:p w:rsidR="00710D11" w:rsidRPr="00CC59C4" w:rsidRDefault="00710D11" w:rsidP="00710D11">
      <w:pPr>
        <w:spacing w:after="120" w:line="240" w:lineRule="auto"/>
        <w:jc w:val="center"/>
        <w:rPr>
          <w:rFonts w:ascii="Times New Roman" w:hAnsi="Times New Roman"/>
          <w:sz w:val="24"/>
          <w:szCs w:val="24"/>
        </w:rPr>
      </w:pPr>
      <w:r w:rsidRPr="00CC59C4">
        <w:rPr>
          <w:rFonts w:ascii="Times New Roman" w:hAnsi="Times New Roman"/>
          <w:b/>
          <w:bCs/>
          <w:sz w:val="24"/>
          <w:szCs w:val="24"/>
        </w:rPr>
        <w:t>ÜÇÜNCÜ BÖLÜM</w:t>
      </w:r>
    </w:p>
    <w:p w:rsidR="00710D11" w:rsidRPr="00CC59C4" w:rsidRDefault="00710D11" w:rsidP="00710D11">
      <w:pPr>
        <w:spacing w:after="120" w:line="240" w:lineRule="auto"/>
        <w:jc w:val="center"/>
        <w:rPr>
          <w:rFonts w:ascii="Times New Roman" w:hAnsi="Times New Roman"/>
          <w:b/>
          <w:bCs/>
          <w:sz w:val="24"/>
          <w:szCs w:val="24"/>
        </w:rPr>
      </w:pPr>
      <w:r w:rsidRPr="00CC59C4">
        <w:rPr>
          <w:rFonts w:ascii="Times New Roman" w:hAnsi="Times New Roman"/>
          <w:b/>
          <w:bCs/>
          <w:sz w:val="24"/>
          <w:szCs w:val="24"/>
        </w:rPr>
        <w:t>Eğitime İlişkin İşlemler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Eğitimin başlaması ve sona ermesi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MADDE 9 –(Başlığı ile birlikte değişik:RG-7/3/2015-29288) </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 (1) Eğitim, Sosyal Güvenlik Kurumuna bildirilmesi şartıyla, hizmet akdinde yer alan işe başlama tarihinde başlar.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Eğitimin dışarıdan sağlanan fayda ve hizmet sözleşmesi şeklindeki bir akit ile denetim çalışmalarına katılarak yapılması halinde, eğitim, sözleşmenin bildirim tarihinde başlar.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(3) Birinci ve ikinci fıkralarda belirtilen sözleşmelerin feshedilmesi veya herhangi bir şekilde sona ermesi halinde sözleşmenin sona erdiği tarih, yanında eğitim alınan denetçi ya da denetim kuruluşu tarafından on gün içinde Kuruma bildirilir.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(4) Denetçi yardımcısının eğitim dönemi işlemlerine ait belge ve bilgiler EYBİS’teki sayfasında saklanır.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Yanında eğitim yapılacakların yükümlülükleri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10 –</w:t>
      </w:r>
      <w:r w:rsidRPr="00CC59C4">
        <w:rPr>
          <w:rFonts w:ascii="Times New Roman" w:hAnsi="Times New Roman"/>
          <w:sz w:val="24"/>
          <w:szCs w:val="24"/>
        </w:rPr>
        <w:t xml:space="preserve"> </w:t>
      </w:r>
      <w:r w:rsidRPr="00CC59C4">
        <w:rPr>
          <w:rFonts w:ascii="Times New Roman" w:hAnsi="Times New Roman"/>
          <w:b/>
          <w:bCs/>
          <w:sz w:val="24"/>
          <w:szCs w:val="24"/>
        </w:rPr>
        <w:t>(Değişik:RG-7/3/2015-29288)</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(1) Eğitimler, denetçi yanında ya da denetim kuruluşunda, bağımsız denetim alanında bilgi birikimine ve deneyime sahip denetçi refakatinde yapılır.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Denetçiler, denetçi yardımcılarını denetimlerin her bir aşamasında görevlendirmek, müşterileriyle olan görüşmelerde yanlarında bulundurmak, onların çalışmalarına nezaret etmek ve hazırladıkları çalışma kâğıtlarını incelemek gibi konularda yükümlüdürler.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(3) Eğitimlerde denetçi yardımcılarına mesleğin gerekleri ve incelikleri ayrıntılı olarak öğretilir ve mesleki mevzuat bilgileri geliştirilir. Eğitimler bilgi işlem teknolojileri ile kişisel ve mesleki gelişim konularını da içerir.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(4) Denetçi yardımcılarının, finansal tablo denetiminde fiilen görev alarak mesleki uygulamayı öğrenmeleri sağlanır.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(5) Eğitimin yürütülmesi esnasında;</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a) Denetçi yardımcılarının, ikinci fıkrada belirtilen işlerde görevlendirilmemesi,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b) Genel ahlaka ve mesleki etik kurallarına aykırı davranışlarda bulunulması,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lastRenderedPageBreak/>
        <w:t>hallerinin tespitinde eğitim veren denetçiler hakkında eğitim verme yasağı uygulanır. Bu yasak EYBİS’e de işlenerek takip edilir.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EYBİS kaydı arama zorunluluğu</w:t>
      </w:r>
    </w:p>
    <w:p w:rsidR="00710D11" w:rsidRPr="00CC59C4" w:rsidRDefault="00710D11" w:rsidP="00710D11">
      <w:pPr>
        <w:spacing w:after="240" w:line="240" w:lineRule="auto"/>
        <w:jc w:val="both"/>
        <w:rPr>
          <w:rFonts w:ascii="Times New Roman" w:hAnsi="Times New Roman"/>
          <w:b/>
          <w:bCs/>
          <w:sz w:val="24"/>
          <w:szCs w:val="24"/>
        </w:rPr>
      </w:pPr>
      <w:r w:rsidRPr="00CC59C4">
        <w:rPr>
          <w:rFonts w:ascii="Times New Roman" w:hAnsi="Times New Roman"/>
          <w:b/>
          <w:bCs/>
          <w:sz w:val="24"/>
          <w:szCs w:val="24"/>
        </w:rPr>
        <w:t>MADDE 11 –</w:t>
      </w:r>
      <w:r w:rsidRPr="00CC59C4">
        <w:rPr>
          <w:rFonts w:ascii="Times New Roman" w:hAnsi="Times New Roman"/>
          <w:sz w:val="24"/>
          <w:szCs w:val="24"/>
        </w:rPr>
        <w:t xml:space="preserve"> </w:t>
      </w:r>
      <w:r w:rsidRPr="00CC59C4">
        <w:rPr>
          <w:rFonts w:ascii="Times New Roman" w:hAnsi="Times New Roman"/>
          <w:b/>
          <w:bCs/>
          <w:sz w:val="24"/>
          <w:szCs w:val="24"/>
        </w:rPr>
        <w:t>(Mülga:RG-7/3/2015-29288)</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Eğitimin icrası ve devam zorunluluğu</w:t>
      </w:r>
    </w:p>
    <w:p w:rsidR="00710D11" w:rsidRPr="00CC59C4" w:rsidRDefault="00710D11" w:rsidP="00710D11">
      <w:pPr>
        <w:spacing w:after="240" w:line="240" w:lineRule="auto"/>
        <w:jc w:val="both"/>
        <w:rPr>
          <w:rFonts w:ascii="Times New Roman" w:hAnsi="Times New Roman"/>
          <w:b/>
          <w:bCs/>
          <w:sz w:val="24"/>
          <w:szCs w:val="24"/>
        </w:rPr>
      </w:pPr>
      <w:r w:rsidRPr="00CC59C4">
        <w:rPr>
          <w:rFonts w:ascii="Times New Roman" w:hAnsi="Times New Roman"/>
          <w:b/>
          <w:bCs/>
          <w:sz w:val="24"/>
          <w:szCs w:val="24"/>
        </w:rPr>
        <w:t>MADDE 12 –</w:t>
      </w:r>
      <w:r w:rsidRPr="00CC59C4">
        <w:rPr>
          <w:rFonts w:ascii="Times New Roman" w:hAnsi="Times New Roman"/>
          <w:sz w:val="24"/>
          <w:szCs w:val="24"/>
        </w:rPr>
        <w:t xml:space="preserve"> </w:t>
      </w:r>
      <w:r w:rsidRPr="00CC59C4">
        <w:rPr>
          <w:rFonts w:ascii="Times New Roman" w:hAnsi="Times New Roman"/>
          <w:b/>
          <w:bCs/>
          <w:sz w:val="24"/>
          <w:szCs w:val="24"/>
        </w:rPr>
        <w:t>(Mülga:RG-7/3/2015-29288) </w:t>
      </w:r>
    </w:p>
    <w:p w:rsidR="00710D11" w:rsidRPr="00CC59C4" w:rsidRDefault="00710D11" w:rsidP="00710D11">
      <w:pPr>
        <w:spacing w:after="120" w:line="240" w:lineRule="auto"/>
        <w:jc w:val="center"/>
        <w:rPr>
          <w:rFonts w:ascii="Times New Roman" w:hAnsi="Times New Roman"/>
          <w:sz w:val="24"/>
          <w:szCs w:val="24"/>
        </w:rPr>
      </w:pPr>
      <w:r w:rsidRPr="00CC59C4">
        <w:rPr>
          <w:rFonts w:ascii="Times New Roman" w:hAnsi="Times New Roman"/>
          <w:b/>
          <w:bCs/>
          <w:sz w:val="24"/>
          <w:szCs w:val="24"/>
        </w:rPr>
        <w:t>DÖRDÜNCÜ BÖLÜM</w:t>
      </w:r>
    </w:p>
    <w:p w:rsidR="00710D11" w:rsidRPr="00CC59C4" w:rsidRDefault="00710D11" w:rsidP="00710D11">
      <w:pPr>
        <w:spacing w:after="120" w:line="240" w:lineRule="auto"/>
        <w:jc w:val="center"/>
        <w:rPr>
          <w:rFonts w:ascii="Times New Roman" w:hAnsi="Times New Roman"/>
          <w:b/>
          <w:bCs/>
          <w:sz w:val="24"/>
          <w:szCs w:val="24"/>
        </w:rPr>
      </w:pPr>
      <w:r w:rsidRPr="00CC59C4">
        <w:rPr>
          <w:rFonts w:ascii="Times New Roman" w:hAnsi="Times New Roman"/>
          <w:b/>
          <w:bCs/>
          <w:sz w:val="24"/>
          <w:szCs w:val="24"/>
        </w:rPr>
        <w:t>Denetçi Yardımcılarıyla İlgili İşlemler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 bilgilerinin EYBİS’e kaydı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13 –</w:t>
      </w:r>
      <w:r w:rsidRPr="00CC59C4">
        <w:rPr>
          <w:rFonts w:ascii="Times New Roman" w:hAnsi="Times New Roman"/>
          <w:sz w:val="24"/>
          <w:szCs w:val="24"/>
        </w:rPr>
        <w:t xml:space="preserve"> </w:t>
      </w:r>
      <w:r w:rsidRPr="00CC59C4">
        <w:rPr>
          <w:rFonts w:ascii="Times New Roman" w:hAnsi="Times New Roman"/>
          <w:b/>
          <w:bCs/>
          <w:sz w:val="24"/>
          <w:szCs w:val="24"/>
        </w:rPr>
        <w:t>(Değişik:RG-7/3/2015-29288) </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(1) Denetçi yardımcılarının eğitimine ilişkin olarak Kurumca istenen tüm bilgi ve belgeler en geç on gün içinde Kuruma bildirilir.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İzin süresi</w:t>
      </w:r>
    </w:p>
    <w:p w:rsidR="00710D11" w:rsidRPr="00CC59C4" w:rsidRDefault="00710D11" w:rsidP="00710D11">
      <w:pPr>
        <w:spacing w:after="240" w:line="240" w:lineRule="auto"/>
        <w:jc w:val="both"/>
        <w:rPr>
          <w:rFonts w:ascii="Times New Roman" w:hAnsi="Times New Roman"/>
          <w:b/>
          <w:bCs/>
          <w:sz w:val="24"/>
          <w:szCs w:val="24"/>
        </w:rPr>
      </w:pPr>
      <w:r w:rsidRPr="00CC59C4">
        <w:rPr>
          <w:rFonts w:ascii="Times New Roman" w:hAnsi="Times New Roman"/>
          <w:b/>
          <w:bCs/>
          <w:sz w:val="24"/>
          <w:szCs w:val="24"/>
        </w:rPr>
        <w:t>MADDE 14 –</w:t>
      </w:r>
      <w:r w:rsidRPr="00CC59C4">
        <w:rPr>
          <w:rFonts w:ascii="Times New Roman" w:hAnsi="Times New Roman"/>
          <w:sz w:val="24"/>
          <w:szCs w:val="24"/>
        </w:rPr>
        <w:t xml:space="preserve"> </w:t>
      </w:r>
      <w:r w:rsidRPr="00CC59C4">
        <w:rPr>
          <w:rFonts w:ascii="Times New Roman" w:hAnsi="Times New Roman"/>
          <w:b/>
          <w:bCs/>
          <w:sz w:val="24"/>
          <w:szCs w:val="24"/>
        </w:rPr>
        <w:t>(Mülga:RG-7/3/2015-29288) </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Meslekle bağdaşmayan işler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15 –</w:t>
      </w:r>
      <w:r w:rsidRPr="00CC59C4">
        <w:rPr>
          <w:rFonts w:ascii="Times New Roman" w:hAnsi="Times New Roman"/>
          <w:sz w:val="24"/>
          <w:szCs w:val="24"/>
        </w:rPr>
        <w:t xml:space="preserve"> (1) Mevzuatta denetçiler için yer alan meslekle ve meslek onuru ile bağdaşmayan işler, denetçi yardımcıları için de geçerlidir. Ayrıca, denetçi yardımcıları eğitimin gerektirdiği işler saklı kalmak kaydıyla denetimle ilgili başkaca işleri yapamazlar.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Denetimlerde görevlendirilen denetçi yardımcıları, bağımsızlık, tarafsızlık ve sır saklama yükümlülüklerinden sorumludurlar.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Denetçi yardımcılarının yükümlülükleri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16 –</w:t>
      </w:r>
      <w:r w:rsidRPr="00CC59C4">
        <w:rPr>
          <w:rFonts w:ascii="Times New Roman" w:hAnsi="Times New Roman"/>
          <w:sz w:val="24"/>
          <w:szCs w:val="24"/>
        </w:rPr>
        <w:t xml:space="preserve"> (1) Denetçi yardımcıları eğitimleri esnasında aşağıdaki kurallara uymakla yükümlüdürler;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a) Mesleğin gerekleri ve inceliklerini ayrıntılı olarak öğrenmek ve mesleki mevzuat bilgilerini geliştirmek.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b) Yanında veya gözetim ve denetiminde eğitim aldıkları denetçi ve denetim kuruluşu tarafından verilen mesleğe ilişkin görevleri zamanında yapmak.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c) Mesleğin vakarı ile bağdaşmayan davranışlar ile ahlak ve iyi niyet kurallarına aykırı davranışlarda bulunmamak.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ç) Gerekli bildirimleri Kuruma zamanında, tam ve doğru olarak yapmak.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Eğitimin sonlandırılması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17 –</w:t>
      </w:r>
      <w:r w:rsidRPr="00CC59C4">
        <w:rPr>
          <w:rFonts w:ascii="Times New Roman" w:hAnsi="Times New Roman"/>
          <w:sz w:val="24"/>
          <w:szCs w:val="24"/>
        </w:rPr>
        <w:t xml:space="preserve"> (1) Eğitim;</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a) 6 ncı maddedeki şartların taşınmadığının sonradan tespit edilmesi,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lastRenderedPageBreak/>
        <w:t>b) Kuruma iletilen bilgi ve belgelerin doğru olmadığının ve bu belgelerde tahrifat yapıldığının tespit edilmesi,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c) Geçerli bir mazereti olmaksızın, çalışma saatleri dahilinde eğitim mahallinde bulunmadığının veya eğitime devam etmediğinin bir yılda üç defa tespit edilmesi,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hallerinde sonlandırılır. Bu durum Kurum tarafından en geç yedi gün içinde denetçi yardımcısıyla birlikte, yanında eğitim alınan denetçi ve denetim kuruluşuna bildirilir.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Eğitimi sonlandırılanlar, bildirim tarihinden itibaren on beş gün içinde Kuruma itiraz edebilirler. Kurumun vereceği karar kesindir.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Eğitimin değerlendirilmesi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18 –</w:t>
      </w:r>
      <w:r w:rsidRPr="00CC59C4">
        <w:rPr>
          <w:rFonts w:ascii="Times New Roman" w:hAnsi="Times New Roman"/>
          <w:sz w:val="24"/>
          <w:szCs w:val="24"/>
        </w:rPr>
        <w:t xml:space="preserve"> (1) Bu Tebliğ çerçevesinde gerçekleştirilen eğitimler talep üzerine Kurum tarafından değerlendirilir. Eğitimlerin bu Tebliğde düzenlenen çerçevede tamamlandığının Kurumca tespiti halinde Yönetmeliğin 15 inci maddesinde öngörülen eğitim şartı sağlanmış olur.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Değerlendirme sonucu eksiklikleri tespit edilenlerin eksik kalan eğitimleri verilen süre içinde tamamlattırılır.</w:t>
      </w:r>
    </w:p>
    <w:p w:rsidR="00710D11" w:rsidRPr="00CC59C4" w:rsidRDefault="00710D11" w:rsidP="00710D11">
      <w:pPr>
        <w:spacing w:after="120" w:line="240" w:lineRule="auto"/>
        <w:jc w:val="center"/>
        <w:rPr>
          <w:rFonts w:ascii="Times New Roman" w:hAnsi="Times New Roman"/>
          <w:sz w:val="24"/>
          <w:szCs w:val="24"/>
        </w:rPr>
      </w:pPr>
      <w:r w:rsidRPr="00CC59C4">
        <w:rPr>
          <w:rFonts w:ascii="Times New Roman" w:hAnsi="Times New Roman"/>
          <w:b/>
          <w:bCs/>
          <w:sz w:val="24"/>
          <w:szCs w:val="24"/>
        </w:rPr>
        <w:t>BEŞİNCİ BÖLÜM</w:t>
      </w:r>
    </w:p>
    <w:p w:rsidR="00710D11" w:rsidRPr="00CC59C4" w:rsidRDefault="00710D11" w:rsidP="00710D11">
      <w:pPr>
        <w:spacing w:after="120" w:line="240" w:lineRule="auto"/>
        <w:jc w:val="center"/>
        <w:rPr>
          <w:rFonts w:ascii="Times New Roman" w:hAnsi="Times New Roman"/>
          <w:b/>
          <w:bCs/>
          <w:sz w:val="24"/>
          <w:szCs w:val="24"/>
        </w:rPr>
      </w:pPr>
      <w:r w:rsidRPr="00CC59C4">
        <w:rPr>
          <w:rFonts w:ascii="Times New Roman" w:hAnsi="Times New Roman"/>
          <w:b/>
          <w:bCs/>
          <w:sz w:val="24"/>
          <w:szCs w:val="24"/>
        </w:rPr>
        <w:t>Çeşitli ve Son Hükümler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Tebliğ kapsamında yapılacak müracaat, bildirim, itiraz ve diğer işlemlerde usul</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19 –</w:t>
      </w:r>
      <w:r w:rsidRPr="00CC59C4">
        <w:rPr>
          <w:rFonts w:ascii="Times New Roman" w:hAnsi="Times New Roman"/>
          <w:sz w:val="24"/>
          <w:szCs w:val="24"/>
        </w:rPr>
        <w:t xml:space="preserve"> (1) Meslek mensuplarınca bu Tebliğ kapsamında yapılacak müracaat, bildirim ve itirazlar ile diğer işlemler, elektronik ortamda ve 5070 sayılı Kanunun 4 üncü maddesinde tanımlanan “Güvenli Elektronik İmza” kullanılarak yapılır.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EYBİS’te elektronik ortamda işlem yapılamaması halinde işlemler, daha sonra elektronik ortama aktarılmak üzere, yazılı ortamda ve Kurumca uygun görülen sürede yürütülür.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(3) Bu Tebliğ uyarınca yapılacak tebligatlar hakkında 11/2/1959 tarihli ve 7201 sayılı Tebligat Kanunu hükümleri uygulanır.</w:t>
      </w:r>
    </w:p>
    <w:p w:rsidR="00710D11" w:rsidRPr="00CC59C4" w:rsidRDefault="00710D11" w:rsidP="00710D11">
      <w:pPr>
        <w:spacing w:after="240" w:line="240" w:lineRule="auto"/>
        <w:jc w:val="both"/>
        <w:rPr>
          <w:rFonts w:ascii="Times New Roman" w:hAnsi="Times New Roman"/>
          <w:sz w:val="24"/>
          <w:szCs w:val="24"/>
        </w:rPr>
      </w:pP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Tebliğde hüküm bulunmayan haller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20 –</w:t>
      </w:r>
      <w:r w:rsidRPr="00CC59C4">
        <w:rPr>
          <w:rFonts w:ascii="Times New Roman" w:hAnsi="Times New Roman"/>
          <w:sz w:val="24"/>
          <w:szCs w:val="24"/>
        </w:rPr>
        <w:t xml:space="preserve"> (1) Bu Tebliğde hüküm bulunmayan hususlar Kurum tarafından düzenlenir.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Geçiş dönemi yetkilendirmelerinde eğitim şartı</w:t>
      </w:r>
    </w:p>
    <w:p w:rsidR="00710D11"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 xml:space="preserve">GEÇİCİ MADDE 1 – </w:t>
      </w:r>
      <w:r w:rsidRPr="00CC59C4">
        <w:rPr>
          <w:rFonts w:ascii="Times New Roman" w:hAnsi="Times New Roman"/>
          <w:sz w:val="24"/>
          <w:szCs w:val="24"/>
        </w:rPr>
        <w:t>(1) Yönetmeliğin Geçici 1 inci maddesinin beşinci fıkrası uyarınca, 31/12/2015 tarihine kadar yapılacak yetkilendirmelerde, bu Yönetmeliğin yayımlandığı tarih itibarıyla, 10 yıl ve daha fazla mesleki tecrübeye sahip olanların, eğitimin en az 1 yılını, diğerlerinin ise en az 2 yılını denetçi yanında ya da denetim kuruluşunda yapılacak denetimlere katılarak geçirmesi şartı aranır. Bu denetimlerde meslek mensubunun katıldığı denetimlere, denetim ekiplerine ve hazırlanmasında katkıda bulunduğu çalışma kâğıtları, diğer dokümanlar ve denetim raporlarına ilişkin bilgiler ile Kurumca uygun görülen bilgilerin takibi yapılır. Talep üzerine Kurumca meslek mensubunun durumu değerlendirilerek eğitimin tamamlandığının tespiti halinde Yönetmelikte öngörülen eğitim şartı sağlanmış olur.</w:t>
      </w:r>
    </w:p>
    <w:p w:rsidR="00710D11" w:rsidRPr="00CC59C4" w:rsidRDefault="00710D11" w:rsidP="00710D11">
      <w:pPr>
        <w:spacing w:after="240" w:line="240" w:lineRule="auto"/>
        <w:jc w:val="both"/>
        <w:rPr>
          <w:rFonts w:ascii="Times New Roman" w:hAnsi="Times New Roman"/>
          <w:sz w:val="24"/>
          <w:szCs w:val="24"/>
        </w:rPr>
      </w:pPr>
    </w:p>
    <w:p w:rsidR="00710D11" w:rsidRPr="00CC59C4" w:rsidRDefault="00710D11" w:rsidP="00710D11">
      <w:pPr>
        <w:spacing w:after="240" w:line="240" w:lineRule="auto"/>
        <w:jc w:val="both"/>
        <w:rPr>
          <w:rFonts w:ascii="Times New Roman" w:hAnsi="Times New Roman"/>
          <w:b/>
          <w:bCs/>
          <w:sz w:val="24"/>
          <w:szCs w:val="24"/>
        </w:rPr>
      </w:pPr>
      <w:r w:rsidRPr="00CC59C4">
        <w:rPr>
          <w:rFonts w:ascii="Times New Roman" w:hAnsi="Times New Roman"/>
          <w:b/>
          <w:bCs/>
          <w:sz w:val="24"/>
          <w:szCs w:val="24"/>
        </w:rPr>
        <w:lastRenderedPageBreak/>
        <w:t>Sermaye piyasasında bağımsız denetim lisansına sahip olanlarda eğitim şartı</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GEÇİCİ MADDE 2 –</w:t>
      </w:r>
      <w:r w:rsidRPr="00CC59C4">
        <w:rPr>
          <w:rFonts w:ascii="Times New Roman" w:hAnsi="Times New Roman"/>
          <w:sz w:val="24"/>
          <w:szCs w:val="24"/>
        </w:rPr>
        <w:t xml:space="preserve"> </w:t>
      </w:r>
      <w:r w:rsidRPr="00CC59C4">
        <w:rPr>
          <w:rFonts w:ascii="Times New Roman" w:hAnsi="Times New Roman"/>
          <w:b/>
          <w:bCs/>
          <w:sz w:val="24"/>
          <w:szCs w:val="24"/>
        </w:rPr>
        <w:t>(Değişik:RG-7/3/2015-29288) </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(1) Sermaye Piyasasında Bağımsız Denetim Lisansına sahip olan veya sınav şartını, Kurumun veya Yönetmeliğin yayımından önce kamu kurumlarının yaptığı bağımsız denetçiliğe ilişkin sınavlarda başarılı olarak sağlayan meslek mensuplarından Yönetmeliğin geçici 1 inci maddesi uyarınca 31/12/2014 tarihine kadar Kuruma müracaatta bulunanların yetkilendirilmelerinde, Tebliğin geçici 1 inci maddesinde belirlenen süreler eğitim süreleri olarak dikkate alınır. Yönetmeliğin geçici 1 inci maddesinin birinci fıkrasının (a) ve (b) bentleri ile sınav şartını Kurumun veya Yönetmeliğin yayımından önce kamu kurumlarının yaptığı bağımsız denetçiliğe ilişkin sınavlarda başarılı olarak sağlamaları nedeniyle yetkilendirilecek olan meslek mensupları bu süreleri, denetim kuruluşları veya denetçiler yanında, 3568 sayılı Kanun çerçevesinde tasdik ve vergi denetimi hizmetlerinde bulunanların yanında ve aynı Kanunun 6 ncı maddesinin ikinci fıkrası uyarınca denetim yetkisini aldıktan sonra kamu kurum ve kuruluşlarında fiilen görev alarak geçirdiklerini belgelemeleri halinde Yönetmelikte öngörülen eğitim şartını sağlamış olurlar.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Mevcut denetçi yardımcılarına ilişkin geçiş hükümleri</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GEÇİCİ MADDE 3 –(Değişik:RG-7/3/2015-29288) </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 (1) Bu Tebliğin yayımı tarihinden önce, denetim faaliyetinde bulunmak üzere kamu kurumlarından yetki almış olan denetim kuruluşları ya da denetçilerin yanında denetçi yardımcısı olarak çalışmaya başlayıp, çalışmaları halen devam etmekte olanlarda eğitime başlama tarihi, çalışmaya başladığına ilişkin Sosyal Güvenlik Kurumuna yapılan bildirim tarihidir.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sz w:val="24"/>
          <w:szCs w:val="24"/>
        </w:rPr>
        <w:t>(2) Bu fıkranın yürürlüğe girdiği tarih itibarıyla 9 uncu maddenin ikinci fıkrasında düzenlendiği şekilde, devam eden eğitim çalışmalarında, kanaat getirici belge ile tevsik edilen belgenin tarihi eğitime başlama tarihi olarak dikkate alınır.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Yürürlük</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21 –</w:t>
      </w:r>
      <w:r w:rsidRPr="00CC59C4">
        <w:rPr>
          <w:rFonts w:ascii="Times New Roman" w:hAnsi="Times New Roman"/>
          <w:sz w:val="24"/>
          <w:szCs w:val="24"/>
        </w:rPr>
        <w:t xml:space="preserve"> (1) Bu Tebliğ yayımı tarihinde yürürlüğe girer.</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Yürütme</w:t>
      </w:r>
    </w:p>
    <w:p w:rsidR="00710D11" w:rsidRPr="00CC59C4" w:rsidRDefault="00710D11" w:rsidP="00710D11">
      <w:pPr>
        <w:spacing w:after="240" w:line="240" w:lineRule="auto"/>
        <w:jc w:val="both"/>
        <w:rPr>
          <w:rFonts w:ascii="Times New Roman" w:hAnsi="Times New Roman"/>
          <w:sz w:val="24"/>
          <w:szCs w:val="24"/>
        </w:rPr>
      </w:pPr>
      <w:r w:rsidRPr="00CC59C4">
        <w:rPr>
          <w:rFonts w:ascii="Times New Roman" w:hAnsi="Times New Roman"/>
          <w:b/>
          <w:bCs/>
          <w:sz w:val="24"/>
          <w:szCs w:val="24"/>
        </w:rPr>
        <w:t>MADDE 22 –</w:t>
      </w:r>
      <w:r w:rsidRPr="00CC59C4">
        <w:rPr>
          <w:rFonts w:ascii="Times New Roman" w:hAnsi="Times New Roman"/>
          <w:sz w:val="24"/>
          <w:szCs w:val="24"/>
        </w:rPr>
        <w:t xml:space="preserve"> (1) Bu Tebliğ hükümlerini Kurum Başkanı yürütür.</w:t>
      </w:r>
    </w:p>
    <w:tbl>
      <w:tblPr>
        <w:tblW w:w="0" w:type="auto"/>
        <w:jc w:val="center"/>
        <w:tblCellMar>
          <w:left w:w="0" w:type="dxa"/>
          <w:right w:w="0" w:type="dxa"/>
        </w:tblCellMar>
        <w:tblLook w:val="04A0" w:firstRow="1" w:lastRow="0" w:firstColumn="1" w:lastColumn="0" w:noHBand="0" w:noVBand="1"/>
      </w:tblPr>
      <w:tblGrid>
        <w:gridCol w:w="2966"/>
        <w:gridCol w:w="2322"/>
        <w:gridCol w:w="4000"/>
      </w:tblGrid>
      <w:tr w:rsidR="00710D11" w:rsidRPr="00CC59C4" w:rsidTr="00710D11">
        <w:trPr>
          <w:trHeight w:val="546"/>
          <w:jc w:val="center"/>
        </w:trPr>
        <w:tc>
          <w:tcPr>
            <w:tcW w:w="29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0D11" w:rsidRPr="00CC59C4" w:rsidRDefault="00710D11" w:rsidP="001D22B4">
            <w:pPr>
              <w:spacing w:after="240" w:line="240" w:lineRule="auto"/>
              <w:jc w:val="both"/>
              <w:rPr>
                <w:rFonts w:ascii="Times New Roman" w:hAnsi="Times New Roman"/>
                <w:sz w:val="24"/>
                <w:szCs w:val="24"/>
              </w:rPr>
            </w:pPr>
            <w:r w:rsidRPr="00CC59C4">
              <w:rPr>
                <w:rFonts w:ascii="Times New Roman" w:hAnsi="Times New Roman"/>
                <w:sz w:val="24"/>
                <w:szCs w:val="24"/>
              </w:rPr>
              <w:t>    </w:t>
            </w:r>
          </w:p>
        </w:tc>
        <w:tc>
          <w:tcPr>
            <w:tcW w:w="63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Tebliğin Yayımlandığı Resmî Gazete’nin</w:t>
            </w:r>
          </w:p>
        </w:tc>
      </w:tr>
      <w:tr w:rsidR="00710D11" w:rsidRPr="00CC59C4" w:rsidTr="00710D11">
        <w:trPr>
          <w:trHeight w:val="152"/>
          <w:jc w:val="center"/>
        </w:trPr>
        <w:tc>
          <w:tcPr>
            <w:tcW w:w="2966" w:type="dxa"/>
            <w:vMerge/>
            <w:tcBorders>
              <w:top w:val="single" w:sz="8" w:space="0" w:color="auto"/>
              <w:left w:val="single" w:sz="8" w:space="0" w:color="auto"/>
              <w:bottom w:val="single" w:sz="8" w:space="0" w:color="auto"/>
              <w:right w:val="single" w:sz="8" w:space="0" w:color="auto"/>
            </w:tcBorders>
            <w:vAlign w:val="center"/>
            <w:hideMark/>
          </w:tcPr>
          <w:p w:rsidR="00710D11" w:rsidRPr="00CC59C4" w:rsidRDefault="00710D11" w:rsidP="001D22B4">
            <w:pPr>
              <w:spacing w:after="240" w:line="240" w:lineRule="auto"/>
              <w:jc w:val="both"/>
              <w:rPr>
                <w:rFonts w:ascii="Times New Roman" w:hAnsi="Times New Roman"/>
                <w:sz w:val="24"/>
                <w:szCs w:val="24"/>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Tarihi</w:t>
            </w:r>
          </w:p>
        </w:tc>
        <w:tc>
          <w:tcPr>
            <w:tcW w:w="4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Sayısı</w:t>
            </w:r>
          </w:p>
        </w:tc>
      </w:tr>
      <w:tr w:rsidR="00710D11" w:rsidRPr="00CC59C4" w:rsidTr="00710D11">
        <w:trPr>
          <w:trHeight w:val="152"/>
          <w:jc w:val="center"/>
        </w:trPr>
        <w:tc>
          <w:tcPr>
            <w:tcW w:w="2966" w:type="dxa"/>
            <w:vMerge/>
            <w:tcBorders>
              <w:top w:val="single" w:sz="8" w:space="0" w:color="auto"/>
              <w:left w:val="single" w:sz="8" w:space="0" w:color="auto"/>
              <w:bottom w:val="single" w:sz="8" w:space="0" w:color="auto"/>
              <w:right w:val="single" w:sz="8" w:space="0" w:color="auto"/>
            </w:tcBorders>
            <w:vAlign w:val="center"/>
            <w:hideMark/>
          </w:tcPr>
          <w:p w:rsidR="00710D11" w:rsidRPr="00CC59C4" w:rsidRDefault="00710D11" w:rsidP="001D22B4">
            <w:pPr>
              <w:spacing w:after="240" w:line="240" w:lineRule="auto"/>
              <w:jc w:val="both"/>
              <w:rPr>
                <w:rFonts w:ascii="Times New Roman" w:hAnsi="Times New Roman"/>
                <w:sz w:val="24"/>
                <w:szCs w:val="24"/>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sz w:val="24"/>
                <w:szCs w:val="24"/>
              </w:rPr>
              <w:t>25/1/2013</w:t>
            </w:r>
          </w:p>
        </w:tc>
        <w:tc>
          <w:tcPr>
            <w:tcW w:w="4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sz w:val="24"/>
                <w:szCs w:val="24"/>
              </w:rPr>
              <w:t>28539</w:t>
            </w:r>
          </w:p>
        </w:tc>
      </w:tr>
      <w:tr w:rsidR="00710D11" w:rsidRPr="00CC59C4" w:rsidTr="00710D11">
        <w:trPr>
          <w:trHeight w:val="152"/>
          <w:jc w:val="center"/>
        </w:trPr>
        <w:tc>
          <w:tcPr>
            <w:tcW w:w="2966" w:type="dxa"/>
            <w:vMerge/>
            <w:tcBorders>
              <w:top w:val="single" w:sz="8" w:space="0" w:color="auto"/>
              <w:left w:val="single" w:sz="8" w:space="0" w:color="auto"/>
              <w:bottom w:val="single" w:sz="8" w:space="0" w:color="auto"/>
              <w:right w:val="single" w:sz="8" w:space="0" w:color="auto"/>
            </w:tcBorders>
            <w:vAlign w:val="center"/>
            <w:hideMark/>
          </w:tcPr>
          <w:p w:rsidR="00710D11" w:rsidRPr="00CC59C4" w:rsidRDefault="00710D11" w:rsidP="001D22B4">
            <w:pPr>
              <w:spacing w:after="240" w:line="240" w:lineRule="auto"/>
              <w:jc w:val="both"/>
              <w:rPr>
                <w:rFonts w:ascii="Times New Roman" w:hAnsi="Times New Roman"/>
                <w:sz w:val="24"/>
                <w:szCs w:val="24"/>
              </w:rPr>
            </w:pPr>
          </w:p>
        </w:tc>
        <w:tc>
          <w:tcPr>
            <w:tcW w:w="63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Tebliğde Değişiklik Yapan Tebliğlerin Yayımlandığı Resmî Gazetelerin</w:t>
            </w:r>
          </w:p>
        </w:tc>
      </w:tr>
      <w:tr w:rsidR="00710D11" w:rsidRPr="00CC59C4" w:rsidTr="00710D11">
        <w:trPr>
          <w:trHeight w:val="152"/>
          <w:jc w:val="center"/>
        </w:trPr>
        <w:tc>
          <w:tcPr>
            <w:tcW w:w="2966" w:type="dxa"/>
            <w:vMerge/>
            <w:tcBorders>
              <w:top w:val="single" w:sz="8" w:space="0" w:color="auto"/>
              <w:left w:val="single" w:sz="8" w:space="0" w:color="auto"/>
              <w:bottom w:val="single" w:sz="8" w:space="0" w:color="auto"/>
              <w:right w:val="single" w:sz="8" w:space="0" w:color="auto"/>
            </w:tcBorders>
            <w:vAlign w:val="center"/>
            <w:hideMark/>
          </w:tcPr>
          <w:p w:rsidR="00710D11" w:rsidRPr="00CC59C4" w:rsidRDefault="00710D11" w:rsidP="001D22B4">
            <w:pPr>
              <w:spacing w:after="240" w:line="240" w:lineRule="auto"/>
              <w:jc w:val="both"/>
              <w:rPr>
                <w:rFonts w:ascii="Times New Roman" w:hAnsi="Times New Roman"/>
                <w:sz w:val="24"/>
                <w:szCs w:val="24"/>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Tarihi</w:t>
            </w:r>
          </w:p>
        </w:tc>
        <w:tc>
          <w:tcPr>
            <w:tcW w:w="4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b/>
                <w:bCs/>
                <w:sz w:val="24"/>
                <w:szCs w:val="24"/>
              </w:rPr>
              <w:t>Sayısı</w:t>
            </w:r>
          </w:p>
        </w:tc>
      </w:tr>
      <w:tr w:rsidR="00710D11" w:rsidRPr="00CC59C4" w:rsidTr="00710D11">
        <w:trPr>
          <w:trHeight w:val="546"/>
          <w:jc w:val="center"/>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D11" w:rsidRPr="00CC59C4" w:rsidRDefault="00710D11" w:rsidP="001D22B4">
            <w:pPr>
              <w:spacing w:after="240" w:line="240" w:lineRule="auto"/>
              <w:jc w:val="right"/>
              <w:rPr>
                <w:rFonts w:ascii="Times New Roman" w:hAnsi="Times New Roman"/>
                <w:sz w:val="24"/>
                <w:szCs w:val="24"/>
              </w:rPr>
            </w:pPr>
            <w:r w:rsidRPr="00CC59C4">
              <w:rPr>
                <w:rFonts w:ascii="Times New Roman" w:hAnsi="Times New Roman"/>
                <w:sz w:val="24"/>
                <w:szCs w:val="24"/>
              </w:rPr>
              <w:t>1.           </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sz w:val="24"/>
                <w:szCs w:val="24"/>
              </w:rPr>
              <w:t>7/3/2015</w:t>
            </w:r>
          </w:p>
        </w:tc>
        <w:tc>
          <w:tcPr>
            <w:tcW w:w="4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r w:rsidRPr="00CC59C4">
              <w:rPr>
                <w:rFonts w:ascii="Times New Roman" w:hAnsi="Times New Roman"/>
                <w:sz w:val="24"/>
                <w:szCs w:val="24"/>
              </w:rPr>
              <w:t>29288</w:t>
            </w:r>
          </w:p>
        </w:tc>
      </w:tr>
      <w:tr w:rsidR="00710D11" w:rsidRPr="00CC59C4" w:rsidTr="00710D11">
        <w:trPr>
          <w:trHeight w:val="546"/>
          <w:jc w:val="center"/>
        </w:trPr>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D11" w:rsidRPr="00CC59C4" w:rsidRDefault="00710D11" w:rsidP="001D22B4">
            <w:pPr>
              <w:spacing w:after="240" w:line="240" w:lineRule="auto"/>
              <w:jc w:val="right"/>
              <w:rPr>
                <w:rFonts w:ascii="Times New Roman" w:hAnsi="Times New Roman"/>
                <w:sz w:val="24"/>
                <w:szCs w:val="24"/>
              </w:rPr>
            </w:pPr>
            <w:r w:rsidRPr="00CC59C4">
              <w:rPr>
                <w:rFonts w:ascii="Times New Roman" w:hAnsi="Times New Roman"/>
                <w:sz w:val="24"/>
                <w:szCs w:val="24"/>
              </w:rPr>
              <w:t>2.           </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D11" w:rsidRPr="00CC59C4" w:rsidRDefault="00710D11" w:rsidP="001D22B4">
            <w:pPr>
              <w:spacing w:after="240" w:line="240" w:lineRule="auto"/>
              <w:jc w:val="center"/>
              <w:rPr>
                <w:rFonts w:ascii="Times New Roman" w:hAnsi="Times New Roman"/>
                <w:sz w:val="24"/>
                <w:szCs w:val="24"/>
              </w:rPr>
            </w:pPr>
          </w:p>
        </w:tc>
      </w:tr>
    </w:tbl>
    <w:p w:rsidR="00636B6F" w:rsidRPr="00710D11" w:rsidRDefault="00636B6F" w:rsidP="00710D11"/>
    <w:sectPr w:rsidR="00636B6F" w:rsidRPr="00710D11"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4C" w:rsidRDefault="00F21B4C" w:rsidP="00636B6F">
      <w:pPr>
        <w:spacing w:after="0" w:line="240" w:lineRule="auto"/>
      </w:pPr>
      <w:r>
        <w:separator/>
      </w:r>
    </w:p>
  </w:endnote>
  <w:endnote w:type="continuationSeparator" w:id="0">
    <w:p w:rsidR="00F21B4C" w:rsidRDefault="00F21B4C"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883C8A">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4C" w:rsidRDefault="00F21B4C" w:rsidP="00636B6F">
      <w:pPr>
        <w:spacing w:after="0" w:line="240" w:lineRule="auto"/>
      </w:pPr>
      <w:r>
        <w:separator/>
      </w:r>
    </w:p>
  </w:footnote>
  <w:footnote w:type="continuationSeparator" w:id="0">
    <w:p w:rsidR="00F21B4C" w:rsidRDefault="00F21B4C"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883C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883C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883C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ft1QL1MMVSM6YBfqPBdc5h6qObEXRS3hu9T+upRTaEqQKWhsC3KCb0NmmiITELJpQ+Ys21hBEAIC+6AOmdABZg==" w:salt="Z2jMAeCi4xYGGyIv6ykdy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B505F"/>
    <w:rsid w:val="000F38EA"/>
    <w:rsid w:val="000F6459"/>
    <w:rsid w:val="001900F5"/>
    <w:rsid w:val="001B17B9"/>
    <w:rsid w:val="001D6664"/>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10D11"/>
    <w:rsid w:val="00727B95"/>
    <w:rsid w:val="00730E6E"/>
    <w:rsid w:val="00745EC1"/>
    <w:rsid w:val="00746BCC"/>
    <w:rsid w:val="00754297"/>
    <w:rsid w:val="00754704"/>
    <w:rsid w:val="0079382B"/>
    <w:rsid w:val="007A68D3"/>
    <w:rsid w:val="007B520D"/>
    <w:rsid w:val="007B6485"/>
    <w:rsid w:val="007B73DA"/>
    <w:rsid w:val="007C1A67"/>
    <w:rsid w:val="007C666D"/>
    <w:rsid w:val="00804305"/>
    <w:rsid w:val="008603C9"/>
    <w:rsid w:val="00865021"/>
    <w:rsid w:val="0087468A"/>
    <w:rsid w:val="00883C8A"/>
    <w:rsid w:val="008A5CD0"/>
    <w:rsid w:val="008E448B"/>
    <w:rsid w:val="008E4F70"/>
    <w:rsid w:val="008F3D67"/>
    <w:rsid w:val="00904936"/>
    <w:rsid w:val="00914BC4"/>
    <w:rsid w:val="0091758C"/>
    <w:rsid w:val="00944B52"/>
    <w:rsid w:val="00972F6E"/>
    <w:rsid w:val="009803FF"/>
    <w:rsid w:val="00A050C4"/>
    <w:rsid w:val="00A13811"/>
    <w:rsid w:val="00A205CC"/>
    <w:rsid w:val="00A20DF9"/>
    <w:rsid w:val="00A70CCB"/>
    <w:rsid w:val="00A837D6"/>
    <w:rsid w:val="00A84E96"/>
    <w:rsid w:val="00AA2E64"/>
    <w:rsid w:val="00AB7A60"/>
    <w:rsid w:val="00AF1064"/>
    <w:rsid w:val="00AF7797"/>
    <w:rsid w:val="00B10A38"/>
    <w:rsid w:val="00B363D4"/>
    <w:rsid w:val="00B505C3"/>
    <w:rsid w:val="00B75BED"/>
    <w:rsid w:val="00B92280"/>
    <w:rsid w:val="00BB20C8"/>
    <w:rsid w:val="00BE6BA9"/>
    <w:rsid w:val="00C01495"/>
    <w:rsid w:val="00C245EF"/>
    <w:rsid w:val="00C4025B"/>
    <w:rsid w:val="00C60631"/>
    <w:rsid w:val="00CB326A"/>
    <w:rsid w:val="00CC59C4"/>
    <w:rsid w:val="00D17E42"/>
    <w:rsid w:val="00D509CE"/>
    <w:rsid w:val="00D8388E"/>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21B4C"/>
    <w:rsid w:val="00F37EDC"/>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50FA17B-43CF-4F62-B163-241024AE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906F-D161-4332-BAEA-217A8590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1980</Words>
  <Characters>11287</Characters>
  <Application>Microsoft Office Word</Application>
  <DocSecurity>8</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2016-03-01T14:15:00Z</cp:lastPrinted>
  <dcterms:created xsi:type="dcterms:W3CDTF">2016-03-01T14:17:00Z</dcterms:created>
  <dcterms:modified xsi:type="dcterms:W3CDTF">2017-02-06T11:15:00Z</dcterms:modified>
</cp:coreProperties>
</file>